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02C0B000" wp14:editId="352C928B">
                <wp:simplePos x="0" y="0"/>
                <wp:positionH relativeFrom="margin">
                  <wp:posOffset>4943475</wp:posOffset>
                </wp:positionH>
                <wp:positionV relativeFrom="margin">
                  <wp:posOffset>-285750</wp:posOffset>
                </wp:positionV>
                <wp:extent cx="2781300" cy="199072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9907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1044D" w:rsidRPr="00E039E1" w:rsidRDefault="00124585" w:rsidP="00CA513B">
                            <w:pPr>
                              <w:pStyle w:val="NoSpacing"/>
                              <w:rPr>
                                <w:rStyle w:val="Strong"/>
                                <w:color w:val="1F497D" w:themeColor="text2"/>
                              </w:rPr>
                            </w:pPr>
                            <w:r>
                              <w:rPr>
                                <w:rStyle w:val="Strong"/>
                                <w:color w:val="1F497D" w:themeColor="text2"/>
                              </w:rPr>
                              <w:t>Subcommittee</w:t>
                            </w:r>
                            <w:r w:rsidR="002F0184">
                              <w:rPr>
                                <w:rStyle w:val="Strong"/>
                                <w:color w:val="1F497D" w:themeColor="text2"/>
                              </w:rPr>
                              <w:t>:</w:t>
                            </w:r>
                            <w:r w:rsidR="008D18D1">
                              <w:rPr>
                                <w:rStyle w:val="Strong"/>
                                <w:color w:val="1F497D" w:themeColor="text2"/>
                              </w:rPr>
                              <w:t xml:space="preserve"> Payment Reform</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883C3D">
                              <w:rPr>
                                <w:rStyle w:val="Strong"/>
                                <w:color w:val="1F497D" w:themeColor="text2"/>
                              </w:rPr>
                              <w:t>February 17, 2015</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8D18D1">
                              <w:rPr>
                                <w:rStyle w:val="Strong"/>
                                <w:color w:val="1F497D" w:themeColor="text2"/>
                              </w:rPr>
                              <w:t>3:00 to 5:00 pm</w:t>
                            </w:r>
                          </w:p>
                          <w:p w:rsidR="0061044D" w:rsidRDefault="0061044D" w:rsidP="00CA513B">
                            <w:pPr>
                              <w:pStyle w:val="NoSpacing"/>
                              <w:rPr>
                                <w:rStyle w:val="Strong"/>
                                <w:color w:val="1F497D" w:themeColor="text2"/>
                              </w:rPr>
                            </w:pPr>
                            <w:r w:rsidRPr="00E039E1">
                              <w:rPr>
                                <w:rStyle w:val="Strong"/>
                                <w:color w:val="1F497D" w:themeColor="text2"/>
                              </w:rPr>
                              <w:t>Location:</w:t>
                            </w:r>
                            <w:r w:rsidR="00883C3D">
                              <w:rPr>
                                <w:rStyle w:val="Strong"/>
                                <w:color w:val="1F497D" w:themeColor="text2"/>
                              </w:rPr>
                              <w:t xml:space="preserve"> Maine Medical Association,</w:t>
                            </w:r>
                          </w:p>
                          <w:p w:rsidR="00883C3D" w:rsidRDefault="00883C3D" w:rsidP="00CA513B">
                            <w:pPr>
                              <w:pStyle w:val="NoSpacing"/>
                              <w:rPr>
                                <w:rStyle w:val="Strong"/>
                                <w:color w:val="1F497D" w:themeColor="text2"/>
                              </w:rPr>
                            </w:pPr>
                            <w:r>
                              <w:rPr>
                                <w:rStyle w:val="Strong"/>
                                <w:color w:val="1F497D" w:themeColor="text2"/>
                              </w:rPr>
                              <w:tab/>
                              <w:t xml:space="preserve">    Manchester</w:t>
                            </w:r>
                          </w:p>
                          <w:p w:rsidR="0061044D" w:rsidRDefault="0061044D" w:rsidP="00CA513B">
                            <w:pPr>
                              <w:pStyle w:val="NoSpacing"/>
                            </w:pPr>
                          </w:p>
                          <w:p w:rsidR="0061044D" w:rsidRDefault="0061044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22.5pt;width:219pt;height:156.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61044D" w:rsidRPr="00E039E1" w:rsidRDefault="00124585" w:rsidP="00CA513B">
                      <w:pPr>
                        <w:pStyle w:val="NoSpacing"/>
                        <w:rPr>
                          <w:rStyle w:val="Strong"/>
                          <w:color w:val="1F497D" w:themeColor="text2"/>
                        </w:rPr>
                      </w:pPr>
                      <w:r>
                        <w:rPr>
                          <w:rStyle w:val="Strong"/>
                          <w:color w:val="1F497D" w:themeColor="text2"/>
                        </w:rPr>
                        <w:t>Subcommittee</w:t>
                      </w:r>
                      <w:r w:rsidR="002F0184">
                        <w:rPr>
                          <w:rStyle w:val="Strong"/>
                          <w:color w:val="1F497D" w:themeColor="text2"/>
                        </w:rPr>
                        <w:t>:</w:t>
                      </w:r>
                      <w:r w:rsidR="008D18D1">
                        <w:rPr>
                          <w:rStyle w:val="Strong"/>
                          <w:color w:val="1F497D" w:themeColor="text2"/>
                        </w:rPr>
                        <w:t xml:space="preserve"> Payment Reform</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883C3D">
                        <w:rPr>
                          <w:rStyle w:val="Strong"/>
                          <w:color w:val="1F497D" w:themeColor="text2"/>
                        </w:rPr>
                        <w:t>February 17, 2015</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8D18D1">
                        <w:rPr>
                          <w:rStyle w:val="Strong"/>
                          <w:color w:val="1F497D" w:themeColor="text2"/>
                        </w:rPr>
                        <w:t>3:00 to 5:00 pm</w:t>
                      </w:r>
                    </w:p>
                    <w:p w:rsidR="0061044D" w:rsidRDefault="0061044D" w:rsidP="00CA513B">
                      <w:pPr>
                        <w:pStyle w:val="NoSpacing"/>
                        <w:rPr>
                          <w:rStyle w:val="Strong"/>
                          <w:color w:val="1F497D" w:themeColor="text2"/>
                        </w:rPr>
                      </w:pPr>
                      <w:r w:rsidRPr="00E039E1">
                        <w:rPr>
                          <w:rStyle w:val="Strong"/>
                          <w:color w:val="1F497D" w:themeColor="text2"/>
                        </w:rPr>
                        <w:t>Location:</w:t>
                      </w:r>
                      <w:r w:rsidR="00883C3D">
                        <w:rPr>
                          <w:rStyle w:val="Strong"/>
                          <w:color w:val="1F497D" w:themeColor="text2"/>
                        </w:rPr>
                        <w:t xml:space="preserve"> Maine Medical Association,</w:t>
                      </w:r>
                    </w:p>
                    <w:p w:rsidR="00883C3D" w:rsidRDefault="00883C3D" w:rsidP="00CA513B">
                      <w:pPr>
                        <w:pStyle w:val="NoSpacing"/>
                        <w:rPr>
                          <w:rStyle w:val="Strong"/>
                          <w:color w:val="1F497D" w:themeColor="text2"/>
                        </w:rPr>
                      </w:pPr>
                      <w:r>
                        <w:rPr>
                          <w:rStyle w:val="Strong"/>
                          <w:color w:val="1F497D" w:themeColor="text2"/>
                        </w:rPr>
                        <w:tab/>
                        <w:t xml:space="preserve">    Manchester</w:t>
                      </w:r>
                    </w:p>
                    <w:p w:rsidR="0061044D" w:rsidRDefault="0061044D" w:rsidP="00CA513B">
                      <w:pPr>
                        <w:pStyle w:val="NoSpacing"/>
                      </w:pPr>
                    </w:p>
                    <w:p w:rsidR="0061044D" w:rsidRDefault="0061044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AD5607" w:rsidRDefault="00AD5607" w:rsidP="008C516A">
      <w:r>
        <w:t xml:space="preserve">   </w:t>
      </w:r>
    </w:p>
    <w:p w:rsidR="00B360D6" w:rsidRDefault="00B360D6" w:rsidP="00B360D6">
      <w:r>
        <w:t xml:space="preserve">    </w:t>
      </w:r>
      <w:r w:rsidR="008D18D1">
        <w:rPr>
          <w:noProof/>
        </w:rPr>
        <w:drawing>
          <wp:inline distT="0" distB="0" distL="0" distR="0" wp14:anchorId="63EED9C1" wp14:editId="5D24A477">
            <wp:extent cx="1752600" cy="590550"/>
            <wp:effectExtent l="0" t="0" r="0" b="0"/>
            <wp:docPr id="1" name="Picture 1" descr="C:\Users\FJohnson\Documents\Logos\mh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Documents\Logos\mhmc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590550"/>
                    </a:xfrm>
                    <a:prstGeom prst="rect">
                      <a:avLst/>
                    </a:prstGeom>
                    <a:noFill/>
                    <a:ln>
                      <a:noFill/>
                    </a:ln>
                  </pic:spPr>
                </pic:pic>
              </a:graphicData>
            </a:graphic>
          </wp:inline>
        </w:drawing>
      </w:r>
    </w:p>
    <w:p w:rsidR="00B360D6" w:rsidRPr="00382C14" w:rsidRDefault="00B360D6" w:rsidP="00B360D6">
      <w:r w:rsidRPr="00382C14">
        <w:rPr>
          <w:b/>
        </w:rPr>
        <w:t>Chair</w:t>
      </w:r>
      <w:r w:rsidR="00CA7F6A" w:rsidRPr="00382C14">
        <w:t xml:space="preserve"> </w:t>
      </w:r>
      <w:r w:rsidR="008D18D1">
        <w:t>Frank Johnson</w:t>
      </w:r>
    </w:p>
    <w:p w:rsidR="00585463" w:rsidRPr="00382C14" w:rsidRDefault="00B360D6" w:rsidP="00B360D6">
      <w:pPr>
        <w:pStyle w:val="NoSpacing"/>
      </w:pPr>
      <w:r w:rsidRPr="00382C14">
        <w:rPr>
          <w:b/>
        </w:rPr>
        <w:t>Core Member Attendance:</w:t>
      </w:r>
      <w:r w:rsidR="009F7035" w:rsidRPr="00382C14">
        <w:t xml:space="preserve"> </w:t>
      </w:r>
      <w:r w:rsidR="00B13E6A">
        <w:t xml:space="preserve"> </w:t>
      </w:r>
      <w:r w:rsidR="008D6D7B">
        <w:t>Andr</w:t>
      </w:r>
      <w:r w:rsidR="00883C3D">
        <w:t xml:space="preserve">ew Ellis, Anthem BCBS (remote); </w:t>
      </w:r>
      <w:r w:rsidR="00B13E6A">
        <w:t xml:space="preserve"> Chrissi Harding, Mount Desert Hospital (remote</w:t>
      </w:r>
      <w:r w:rsidR="00883C3D">
        <w:t>)</w:t>
      </w:r>
      <w:r w:rsidR="00B13E6A">
        <w:t xml:space="preserve">; </w:t>
      </w:r>
      <w:r w:rsidR="008D6D7B">
        <w:t xml:space="preserve">Peter Kraut, </w:t>
      </w:r>
      <w:proofErr w:type="spellStart"/>
      <w:r w:rsidR="008D6D7B">
        <w:t>MaineCare</w:t>
      </w:r>
      <w:proofErr w:type="spellEnd"/>
      <w:r w:rsidR="008D6D7B">
        <w:t xml:space="preserve"> (remote); </w:t>
      </w:r>
      <w:r w:rsidR="00883C3D">
        <w:t>Michelle Probert, Bath Iron Works;</w:t>
      </w:r>
      <w:r w:rsidR="00B13E6A">
        <w:t xml:space="preserve"> Ted Roney Maine Quality Counts (Remote); </w:t>
      </w:r>
      <w:r w:rsidR="008D18D1">
        <w:t xml:space="preserve"> Cheryl Rust, Consumer</w:t>
      </w:r>
      <w:r w:rsidR="00883C3D">
        <w:t xml:space="preserve"> Joanne Rawlings-</w:t>
      </w:r>
      <w:proofErr w:type="spellStart"/>
      <w:r w:rsidR="00883C3D">
        <w:t>Sekunda</w:t>
      </w:r>
      <w:proofErr w:type="spellEnd"/>
      <w:r w:rsidR="00883C3D">
        <w:t xml:space="preserve">, Bureau of Insurance; Jeff Smorczewski, Aetna; </w:t>
      </w:r>
    </w:p>
    <w:p w:rsidR="008D18D1" w:rsidRDefault="008D18D1" w:rsidP="008D18D1">
      <w:pPr>
        <w:pStyle w:val="NoSpacing"/>
      </w:pPr>
    </w:p>
    <w:p w:rsidR="00B360D6" w:rsidRPr="00382C14" w:rsidRDefault="00B360D6" w:rsidP="008D18D1">
      <w:pPr>
        <w:pStyle w:val="NoSpacing"/>
      </w:pPr>
      <w:r w:rsidRPr="008D18D1">
        <w:rPr>
          <w:b/>
        </w:rPr>
        <w:t>Interested Parties &amp; Guests</w:t>
      </w:r>
      <w:r w:rsidR="00B10C95" w:rsidRPr="00382C14">
        <w:t xml:space="preserve">: </w:t>
      </w:r>
      <w:r w:rsidR="00C05E37" w:rsidRPr="00382C14">
        <w:t xml:space="preserve"> </w:t>
      </w:r>
      <w:r w:rsidR="008D6D7B">
        <w:t xml:space="preserve">Bart Beattie, </w:t>
      </w:r>
      <w:proofErr w:type="spellStart"/>
      <w:r w:rsidR="008D6D7B">
        <w:t>Provcorp</w:t>
      </w:r>
      <w:proofErr w:type="spellEnd"/>
      <w:r w:rsidR="008D6D7B">
        <w:t xml:space="preserve"> (remote); </w:t>
      </w:r>
      <w:r w:rsidR="00B13E6A">
        <w:t>Bob Howe, How</w:t>
      </w:r>
      <w:r w:rsidR="00A068BD">
        <w:t>e</w:t>
      </w:r>
      <w:r w:rsidR="00B13E6A">
        <w:t xml:space="preserve"> and Cahil</w:t>
      </w:r>
      <w:r w:rsidR="00A068BD">
        <w:t>l</w:t>
      </w:r>
      <w:proofErr w:type="gramStart"/>
      <w:r w:rsidR="00B13E6A">
        <w:t>;</w:t>
      </w:r>
      <w:r w:rsidR="00A068BD">
        <w:t xml:space="preserve"> .</w:t>
      </w:r>
      <w:proofErr w:type="gramEnd"/>
      <w:r w:rsidR="00A068BD">
        <w:t xml:space="preserve"> </w:t>
      </w:r>
    </w:p>
    <w:p w:rsidR="00F70000" w:rsidRDefault="00F70000" w:rsidP="00F70000">
      <w:pPr>
        <w:pStyle w:val="NoSpacing"/>
      </w:pPr>
    </w:p>
    <w:p w:rsidR="00AD5607" w:rsidRPr="00F70000" w:rsidRDefault="00B360D6" w:rsidP="00F70000">
      <w:pPr>
        <w:pStyle w:val="NoSpacing"/>
      </w:pPr>
      <w:r w:rsidRPr="00F70000">
        <w:rPr>
          <w:b/>
        </w:rPr>
        <w:t>Staff:</w:t>
      </w:r>
      <w:r w:rsidR="00CA7F6A" w:rsidRPr="00F70000">
        <w:rPr>
          <w:b/>
        </w:rPr>
        <w:t xml:space="preserve"> </w:t>
      </w:r>
      <w:r w:rsidR="00F70000">
        <w:t>Li</w:t>
      </w:r>
      <w:r w:rsidR="00A068BD">
        <w:t xml:space="preserve">sa Nolan, MHMC; </w:t>
      </w:r>
      <w:r w:rsidR="008D6D7B">
        <w:t>Lorie Marquis, MHMC; Robin Allen, MHMC;</w:t>
      </w:r>
      <w:r w:rsidR="00A068BD">
        <w:t xml:space="preserve"> Blake Hendrickson, MHMC. </w:t>
      </w:r>
    </w:p>
    <w:p w:rsidR="00F70000" w:rsidRPr="00382C14" w:rsidRDefault="00F70000" w:rsidP="00F70000">
      <w:pPr>
        <w:pStyle w:val="NoSpacing"/>
      </w:pPr>
    </w:p>
    <w:tbl>
      <w:tblPr>
        <w:tblStyle w:val="TableGrid"/>
        <w:tblW w:w="0" w:type="auto"/>
        <w:tblLook w:val="04A0" w:firstRow="1" w:lastRow="0" w:firstColumn="1" w:lastColumn="0" w:noHBand="0" w:noVBand="1"/>
      </w:tblPr>
      <w:tblGrid>
        <w:gridCol w:w="3708"/>
        <w:gridCol w:w="1620"/>
        <w:gridCol w:w="4050"/>
        <w:gridCol w:w="2790"/>
      </w:tblGrid>
      <w:tr w:rsidR="000A6C66" w:rsidRPr="00382C14" w:rsidTr="001D798E">
        <w:trPr>
          <w:tblHeader/>
        </w:trPr>
        <w:tc>
          <w:tcPr>
            <w:tcW w:w="3708" w:type="dxa"/>
          </w:tcPr>
          <w:p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rsidR="000A6C66" w:rsidRPr="00382C14" w:rsidRDefault="000A6C66" w:rsidP="004C2832">
            <w:pPr>
              <w:rPr>
                <w:b/>
              </w:rPr>
            </w:pPr>
            <w:r w:rsidRPr="00382C14">
              <w:rPr>
                <w:b/>
              </w:rPr>
              <w:t>Notes</w:t>
            </w:r>
          </w:p>
        </w:tc>
        <w:tc>
          <w:tcPr>
            <w:tcW w:w="279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0A6C66" w:rsidRPr="00382C14" w:rsidTr="001D798E">
        <w:tc>
          <w:tcPr>
            <w:tcW w:w="3708" w:type="dxa"/>
          </w:tcPr>
          <w:p w:rsidR="000A6C66" w:rsidRPr="00382C14" w:rsidRDefault="008D6D7B" w:rsidP="00A068BD">
            <w:pPr>
              <w:pStyle w:val="Formal1"/>
              <w:numPr>
                <w:ilvl w:val="0"/>
                <w:numId w:val="1"/>
              </w:numPr>
              <w:spacing w:after="0"/>
              <w:rPr>
                <w:rFonts w:asciiTheme="minorHAnsi" w:hAnsiTheme="minorHAnsi" w:cstheme="minorHAnsi"/>
                <w:b/>
                <w:sz w:val="22"/>
                <w:szCs w:val="22"/>
              </w:rPr>
            </w:pPr>
            <w:r>
              <w:rPr>
                <w:rFonts w:asciiTheme="minorHAnsi" w:hAnsiTheme="minorHAnsi" w:cstheme="minorHAnsi"/>
                <w:b/>
                <w:sz w:val="22"/>
                <w:szCs w:val="22"/>
              </w:rPr>
              <w:t>Report on Behavioral Health Measures via Pathways to Excellence (PTE)</w:t>
            </w:r>
          </w:p>
        </w:tc>
        <w:tc>
          <w:tcPr>
            <w:tcW w:w="1620" w:type="dxa"/>
          </w:tcPr>
          <w:p w:rsidR="00046DB0" w:rsidRPr="00382C14" w:rsidRDefault="008D6D7B" w:rsidP="0061044D">
            <w:pPr>
              <w:pStyle w:val="Formal1"/>
              <w:rPr>
                <w:rFonts w:asciiTheme="minorHAnsi" w:hAnsiTheme="minorHAnsi" w:cstheme="minorHAnsi"/>
                <w:b/>
                <w:sz w:val="22"/>
                <w:szCs w:val="22"/>
              </w:rPr>
            </w:pPr>
            <w:r>
              <w:rPr>
                <w:rFonts w:asciiTheme="minorHAnsi" w:hAnsiTheme="minorHAnsi" w:cstheme="minorHAnsi"/>
                <w:b/>
                <w:sz w:val="22"/>
                <w:szCs w:val="22"/>
              </w:rPr>
              <w:t>Lorie Marquis</w:t>
            </w:r>
          </w:p>
        </w:tc>
        <w:tc>
          <w:tcPr>
            <w:tcW w:w="4050" w:type="dxa"/>
          </w:tcPr>
          <w:p w:rsidR="00366684" w:rsidRPr="00382C14" w:rsidRDefault="008D6D7B" w:rsidP="00DF6C20">
            <w:r>
              <w:t xml:space="preserve">Lorrie Marquis, PTE Director, </w:t>
            </w:r>
            <w:r w:rsidR="000B2917">
              <w:t xml:space="preserve">briefed the Subcommittee on the development and role of the Behavioral Health (BH) steering committee. Lorrie outlined the domains of quality for BH, the focus on outpatient BH providers, and the response from outpatient BH providers to the request for attestation. </w:t>
            </w:r>
            <w:r w:rsidR="00DF6C20">
              <w:t xml:space="preserve">Result from over 300 providers went “live” on the </w:t>
            </w:r>
            <w:proofErr w:type="spellStart"/>
            <w:r w:rsidR="00DF6C20">
              <w:t>GetBetterMaine</w:t>
            </w:r>
            <w:proofErr w:type="spellEnd"/>
            <w:r w:rsidR="00DF6C20">
              <w:t xml:space="preserve"> website January 5, 2015. Lorrie also provided a summary of planned activities for 2015 including the goals of </w:t>
            </w:r>
            <w:r w:rsidR="00DF6C20">
              <w:lastRenderedPageBreak/>
              <w:t xml:space="preserve">reporting on condition/diagnosis specific domain and reporting on at least two claims-based measures for 1/1/16. In an effort to sustain alignment between the PTE Clinicians Steering Committee and the BH Steering Committee a “Crossover” has been established.  </w:t>
            </w:r>
            <w:r w:rsidR="000B2917">
              <w:t xml:space="preserve"> </w:t>
            </w:r>
          </w:p>
        </w:tc>
        <w:tc>
          <w:tcPr>
            <w:tcW w:w="2790" w:type="dxa"/>
          </w:tcPr>
          <w:p w:rsidR="000A6C66" w:rsidRPr="00DF6C20" w:rsidRDefault="00F03098" w:rsidP="00DF6C20">
            <w:pPr>
              <w:pStyle w:val="Formal1"/>
              <w:rPr>
                <w:rFonts w:asciiTheme="minorHAnsi" w:hAnsiTheme="minorHAnsi" w:cstheme="minorHAnsi"/>
                <w:sz w:val="22"/>
                <w:szCs w:val="22"/>
              </w:rPr>
            </w:pPr>
            <w:r>
              <w:rPr>
                <w:rFonts w:asciiTheme="minorHAnsi" w:hAnsiTheme="minorHAnsi" w:cstheme="minorHAnsi"/>
                <w:b/>
                <w:sz w:val="22"/>
                <w:szCs w:val="22"/>
              </w:rPr>
              <w:lastRenderedPageBreak/>
              <w:t xml:space="preserve"> </w:t>
            </w:r>
            <w:r w:rsidR="00DF6C20">
              <w:rPr>
                <w:rFonts w:asciiTheme="minorHAnsi" w:hAnsiTheme="minorHAnsi" w:cstheme="minorHAnsi"/>
                <w:sz w:val="22"/>
                <w:szCs w:val="22"/>
              </w:rPr>
              <w:t>There was no action taken as this was an informational update only.</w:t>
            </w:r>
          </w:p>
        </w:tc>
      </w:tr>
      <w:tr w:rsidR="000A6C66" w:rsidRPr="00382C14" w:rsidTr="001D798E">
        <w:tc>
          <w:tcPr>
            <w:tcW w:w="3708" w:type="dxa"/>
          </w:tcPr>
          <w:p w:rsidR="00366684" w:rsidRPr="00E02AFE" w:rsidRDefault="00DF6C20" w:rsidP="00E02AFE">
            <w:pPr>
              <w:pStyle w:val="ListParagraph"/>
              <w:numPr>
                <w:ilvl w:val="0"/>
                <w:numId w:val="1"/>
              </w:numPr>
              <w:rPr>
                <w:rFonts w:cstheme="minorHAnsi"/>
                <w:b/>
              </w:rPr>
            </w:pPr>
            <w:r>
              <w:rPr>
                <w:rFonts w:cstheme="minorHAnsi"/>
                <w:b/>
              </w:rPr>
              <w:lastRenderedPageBreak/>
              <w:t>Update on Value-Based Insurance Design (VBID) project</w:t>
            </w:r>
          </w:p>
        </w:tc>
        <w:tc>
          <w:tcPr>
            <w:tcW w:w="1620" w:type="dxa"/>
          </w:tcPr>
          <w:p w:rsidR="000C5E04" w:rsidRPr="00382C14" w:rsidRDefault="00DF6C20" w:rsidP="00CA513B">
            <w:pPr>
              <w:rPr>
                <w:b/>
              </w:rPr>
            </w:pPr>
            <w:r>
              <w:rPr>
                <w:b/>
              </w:rPr>
              <w:t>Robin Allen</w:t>
            </w:r>
          </w:p>
        </w:tc>
        <w:tc>
          <w:tcPr>
            <w:tcW w:w="4050" w:type="dxa"/>
          </w:tcPr>
          <w:p w:rsidR="00366684" w:rsidRPr="007F0CEC" w:rsidRDefault="00DF6C20" w:rsidP="00C21BDB">
            <w:pPr>
              <w:spacing w:after="200" w:line="276" w:lineRule="auto"/>
              <w:rPr>
                <w:rStyle w:val="Strong"/>
                <w:b w:val="0"/>
              </w:rPr>
            </w:pPr>
            <w:r>
              <w:rPr>
                <w:rStyle w:val="Strong"/>
                <w:b w:val="0"/>
              </w:rPr>
              <w:t>Robin Allen, VBID Manager, refreshed the Subcommittee on the VBID concept and outlined the progress on the various work groups that are addressing the identification of clinical designations</w:t>
            </w:r>
            <w:r w:rsidR="00C21BDB">
              <w:rPr>
                <w:rStyle w:val="Strong"/>
                <w:b w:val="0"/>
              </w:rPr>
              <w:t xml:space="preserve"> and</w:t>
            </w:r>
            <w:r>
              <w:rPr>
                <w:rStyle w:val="Strong"/>
                <w:b w:val="0"/>
              </w:rPr>
              <w:t xml:space="preserve"> the adminis</w:t>
            </w:r>
            <w:r w:rsidR="00C21BDB">
              <w:rPr>
                <w:rStyle w:val="Strong"/>
                <w:b w:val="0"/>
              </w:rPr>
              <w:t xml:space="preserve">trative simplification process. Robin demonstrated the breadth of stakeholder engagement with participation from providers, health plans, brokers, plan sponsors and consumers. Robin reported that at least one self-insured plan sponsor is planning to implement the VBID model for 1/1/16. </w:t>
            </w:r>
            <w:r>
              <w:rPr>
                <w:rStyle w:val="Strong"/>
                <w:b w:val="0"/>
              </w:rPr>
              <w:t xml:space="preserve"> </w:t>
            </w:r>
          </w:p>
        </w:tc>
        <w:tc>
          <w:tcPr>
            <w:tcW w:w="2790" w:type="dxa"/>
          </w:tcPr>
          <w:p w:rsidR="007824F0" w:rsidRPr="00E02AFE" w:rsidRDefault="00C21BDB" w:rsidP="007F0CEC">
            <w:pPr>
              <w:spacing w:after="200" w:line="276" w:lineRule="auto"/>
              <w:rPr>
                <w:rFonts w:cstheme="minorHAnsi"/>
              </w:rPr>
            </w:pPr>
            <w:r>
              <w:rPr>
                <w:rFonts w:cstheme="minorHAnsi"/>
              </w:rPr>
              <w:t>There was no action taken as this was an informational update only.</w:t>
            </w:r>
          </w:p>
        </w:tc>
      </w:tr>
      <w:tr w:rsidR="000C5E04" w:rsidRPr="00382C14" w:rsidTr="001D798E">
        <w:tc>
          <w:tcPr>
            <w:tcW w:w="3708" w:type="dxa"/>
          </w:tcPr>
          <w:p w:rsidR="00317EB4" w:rsidRPr="00E02AFE" w:rsidRDefault="007F0CEC" w:rsidP="00E02AFE">
            <w:pPr>
              <w:pStyle w:val="ListParagraph"/>
              <w:numPr>
                <w:ilvl w:val="0"/>
                <w:numId w:val="1"/>
              </w:numPr>
              <w:rPr>
                <w:rFonts w:cstheme="minorHAnsi"/>
                <w:b/>
              </w:rPr>
            </w:pPr>
            <w:r>
              <w:rPr>
                <w:rFonts w:cstheme="minorHAnsi"/>
                <w:b/>
              </w:rPr>
              <w:t>Update on Cost of Care Work Group</w:t>
            </w:r>
          </w:p>
        </w:tc>
        <w:tc>
          <w:tcPr>
            <w:tcW w:w="1620" w:type="dxa"/>
          </w:tcPr>
          <w:p w:rsidR="000C5E04" w:rsidRPr="00382C14" w:rsidRDefault="00C21BDB" w:rsidP="00E02AFE">
            <w:pPr>
              <w:rPr>
                <w:b/>
              </w:rPr>
            </w:pPr>
            <w:r>
              <w:rPr>
                <w:b/>
              </w:rPr>
              <w:t>Lisa Nolan</w:t>
            </w:r>
          </w:p>
        </w:tc>
        <w:tc>
          <w:tcPr>
            <w:tcW w:w="4050" w:type="dxa"/>
          </w:tcPr>
          <w:p w:rsidR="00366684" w:rsidRPr="00382C14" w:rsidRDefault="00C21BDB" w:rsidP="009F70DD">
            <w:pPr>
              <w:rPr>
                <w:rFonts w:cstheme="minorHAnsi"/>
              </w:rPr>
            </w:pPr>
            <w:r>
              <w:rPr>
                <w:rFonts w:cstheme="minorHAnsi"/>
              </w:rPr>
              <w:t xml:space="preserve">Lisa Nolan, Cost of Care Director, reminded the Subcommittee of the Health Care Cost Work Group’s charge under the SIM grant. After providing background on the process, Lisa reported that the Cost of Care Work Group has agreed to a vo0luntary growth cap for risk-based contracts. Lisa reported on the lengthy debate on which indices to consider </w:t>
            </w:r>
            <w:proofErr w:type="gramStart"/>
            <w:r>
              <w:rPr>
                <w:rFonts w:cstheme="minorHAnsi"/>
              </w:rPr>
              <w:t>to cap</w:t>
            </w:r>
            <w:proofErr w:type="gramEnd"/>
            <w:r>
              <w:rPr>
                <w:rFonts w:cstheme="minorHAnsi"/>
              </w:rPr>
              <w:t xml:space="preserve"> growth and the compromise position that led to final agreement. The stakeholders </w:t>
            </w:r>
            <w:r>
              <w:rPr>
                <w:rFonts w:cstheme="minorHAnsi"/>
              </w:rPr>
              <w:lastRenderedPageBreak/>
              <w:t xml:space="preserve">agreed to begin the growth cap at the CPI medical level        for year 1 and for the cap to gradually decline over five years to the </w:t>
            </w:r>
            <w:r w:rsidR="009F70DD">
              <w:rPr>
                <w:rFonts w:cstheme="minorHAnsi"/>
              </w:rPr>
              <w:t>regular CPI plus 25% of the difference between the two indices. Lisa also reported that a sub-group has been established to examine strategies for each of the stakeholders to contribute to achieving the growth cap.</w:t>
            </w:r>
          </w:p>
        </w:tc>
        <w:tc>
          <w:tcPr>
            <w:tcW w:w="2790" w:type="dxa"/>
          </w:tcPr>
          <w:p w:rsidR="009A674E" w:rsidRPr="009E21FE" w:rsidRDefault="00366684" w:rsidP="0061044D">
            <w:pPr>
              <w:rPr>
                <w:rFonts w:cstheme="minorHAnsi"/>
              </w:rPr>
            </w:pPr>
            <w:r>
              <w:rPr>
                <w:rFonts w:cstheme="minorHAnsi"/>
              </w:rPr>
              <w:lastRenderedPageBreak/>
              <w:t xml:space="preserve"> </w:t>
            </w:r>
            <w:r w:rsidR="009F70DD">
              <w:rPr>
                <w:rFonts w:cstheme="minorHAnsi"/>
              </w:rPr>
              <w:t>There was no action taken as this was an informational update only.</w:t>
            </w:r>
          </w:p>
        </w:tc>
      </w:tr>
      <w:tr w:rsidR="000A6C66" w:rsidRPr="00382C14" w:rsidTr="001D798E">
        <w:tc>
          <w:tcPr>
            <w:tcW w:w="3708" w:type="dxa"/>
          </w:tcPr>
          <w:p w:rsidR="000A6C66" w:rsidRPr="000714B6" w:rsidRDefault="009F70DD" w:rsidP="009F70DD">
            <w:pPr>
              <w:pStyle w:val="ListParagraph"/>
              <w:numPr>
                <w:ilvl w:val="0"/>
                <w:numId w:val="1"/>
              </w:numPr>
              <w:rPr>
                <w:rFonts w:cstheme="minorHAnsi"/>
                <w:b/>
              </w:rPr>
            </w:pPr>
            <w:r>
              <w:rPr>
                <w:rFonts w:cstheme="minorHAnsi"/>
                <w:b/>
              </w:rPr>
              <w:lastRenderedPageBreak/>
              <w:t>Status of Clinical Integration Pilot</w:t>
            </w:r>
          </w:p>
        </w:tc>
        <w:tc>
          <w:tcPr>
            <w:tcW w:w="1620" w:type="dxa"/>
          </w:tcPr>
          <w:p w:rsidR="000C5E04" w:rsidRPr="00382C14" w:rsidRDefault="009F70DD" w:rsidP="00CA513B">
            <w:pPr>
              <w:rPr>
                <w:b/>
              </w:rPr>
            </w:pPr>
            <w:r>
              <w:rPr>
                <w:b/>
              </w:rPr>
              <w:t>Frank Johnson</w:t>
            </w:r>
          </w:p>
        </w:tc>
        <w:tc>
          <w:tcPr>
            <w:tcW w:w="4050" w:type="dxa"/>
          </w:tcPr>
          <w:p w:rsidR="00794936" w:rsidRPr="00382C14" w:rsidRDefault="00366684" w:rsidP="009F70DD">
            <w:pPr>
              <w:rPr>
                <w:rFonts w:cstheme="minorHAnsi"/>
              </w:rPr>
            </w:pPr>
            <w:r>
              <w:rPr>
                <w:rFonts w:cstheme="minorHAnsi"/>
              </w:rPr>
              <w:t xml:space="preserve"> </w:t>
            </w:r>
            <w:r w:rsidR="009F70DD">
              <w:rPr>
                <w:rFonts w:cstheme="minorHAnsi"/>
              </w:rPr>
              <w:t xml:space="preserve">In Ellen </w:t>
            </w:r>
            <w:proofErr w:type="spellStart"/>
            <w:proofErr w:type="gramStart"/>
            <w:r w:rsidR="009F70DD">
              <w:rPr>
                <w:rFonts w:cstheme="minorHAnsi"/>
              </w:rPr>
              <w:t>Schneiter’s</w:t>
            </w:r>
            <w:proofErr w:type="spellEnd"/>
            <w:r w:rsidR="009F70DD">
              <w:rPr>
                <w:rFonts w:cstheme="minorHAnsi"/>
              </w:rPr>
              <w:t xml:space="preserve">  absence</w:t>
            </w:r>
            <w:proofErr w:type="gramEnd"/>
            <w:r w:rsidR="009F70DD">
              <w:rPr>
                <w:rFonts w:cstheme="minorHAnsi"/>
              </w:rPr>
              <w:t xml:space="preserve"> Frank explained that the integration of clinical and claims data initiative between the Maine Health Management Coalition and </w:t>
            </w:r>
            <w:proofErr w:type="spellStart"/>
            <w:r w:rsidR="009F70DD">
              <w:rPr>
                <w:rFonts w:cstheme="minorHAnsi"/>
              </w:rPr>
              <w:t>HealthInfoNet</w:t>
            </w:r>
            <w:proofErr w:type="spellEnd"/>
            <w:r w:rsidR="009F70DD">
              <w:rPr>
                <w:rFonts w:cstheme="minorHAnsi"/>
              </w:rPr>
              <w:t xml:space="preserve">  will not be proceeding at this time. The MHMC and HIN are exploring other opportunities to collaborate. </w:t>
            </w:r>
          </w:p>
        </w:tc>
        <w:tc>
          <w:tcPr>
            <w:tcW w:w="2790" w:type="dxa"/>
          </w:tcPr>
          <w:p w:rsidR="009A674E" w:rsidRPr="00382C14" w:rsidRDefault="00124585" w:rsidP="00A3329A">
            <w:pPr>
              <w:contextualSpacing/>
              <w:rPr>
                <w:rFonts w:cstheme="minorHAnsi"/>
                <w:b/>
              </w:rPr>
            </w:pPr>
            <w:r>
              <w:t>DNA</w:t>
            </w:r>
            <w:r w:rsidR="00366684">
              <w:rPr>
                <w:b/>
              </w:rPr>
              <w:t xml:space="preserve"> </w:t>
            </w:r>
          </w:p>
          <w:p w:rsidR="000A6C66" w:rsidRPr="00382C14" w:rsidRDefault="000A6C66" w:rsidP="0061044D">
            <w:pPr>
              <w:rPr>
                <w:rFonts w:cstheme="minorHAnsi"/>
                <w:b/>
              </w:rPr>
            </w:pPr>
          </w:p>
        </w:tc>
      </w:tr>
      <w:tr w:rsidR="000A6C66" w:rsidRPr="00382C14" w:rsidTr="001D798E">
        <w:tc>
          <w:tcPr>
            <w:tcW w:w="3708" w:type="dxa"/>
          </w:tcPr>
          <w:p w:rsidR="00366684" w:rsidRPr="00124585" w:rsidRDefault="009F70DD" w:rsidP="009F70DD">
            <w:pPr>
              <w:pStyle w:val="ListParagraph"/>
              <w:numPr>
                <w:ilvl w:val="0"/>
                <w:numId w:val="1"/>
              </w:numPr>
              <w:rPr>
                <w:b/>
              </w:rPr>
            </w:pPr>
            <w:r>
              <w:rPr>
                <w:b/>
              </w:rPr>
              <w:t>Proposed Initiatives to Advance Primary Care Payment Reform</w:t>
            </w:r>
          </w:p>
        </w:tc>
        <w:tc>
          <w:tcPr>
            <w:tcW w:w="1620" w:type="dxa"/>
          </w:tcPr>
          <w:p w:rsidR="000A6C66" w:rsidRDefault="00124585" w:rsidP="00CA513B">
            <w:pPr>
              <w:rPr>
                <w:b/>
              </w:rPr>
            </w:pPr>
            <w:r>
              <w:rPr>
                <w:b/>
              </w:rPr>
              <w:t>Frank Johnson</w:t>
            </w:r>
          </w:p>
          <w:p w:rsidR="00205ACD" w:rsidRPr="00382C14" w:rsidRDefault="00205ACD" w:rsidP="00CA513B">
            <w:pPr>
              <w:rPr>
                <w:b/>
              </w:rPr>
            </w:pPr>
          </w:p>
          <w:p w:rsidR="000C5E04" w:rsidRPr="00382C14" w:rsidRDefault="00307654" w:rsidP="00CA513B">
            <w:pPr>
              <w:rPr>
                <w:b/>
              </w:rPr>
            </w:pPr>
            <w:r>
              <w:rPr>
                <w:b/>
              </w:rPr>
              <w:t xml:space="preserve"> </w:t>
            </w:r>
          </w:p>
          <w:p w:rsidR="000C5E04" w:rsidRPr="00382C14" w:rsidRDefault="000C5E04" w:rsidP="00CA513B">
            <w:pPr>
              <w:rPr>
                <w:b/>
              </w:rPr>
            </w:pPr>
          </w:p>
        </w:tc>
        <w:tc>
          <w:tcPr>
            <w:tcW w:w="4050" w:type="dxa"/>
          </w:tcPr>
          <w:p w:rsidR="00205ACD" w:rsidRDefault="009F70DD" w:rsidP="009D0255">
            <w:pPr>
              <w:contextualSpacing/>
            </w:pPr>
            <w:r>
              <w:t>Due to the dialogue generated by the three presentations there was not enough time to pursue this topic.</w:t>
            </w:r>
          </w:p>
          <w:p w:rsidR="00205ACD" w:rsidRDefault="00205ACD" w:rsidP="009D0255">
            <w:pPr>
              <w:contextualSpacing/>
            </w:pPr>
          </w:p>
          <w:p w:rsidR="00205ACD" w:rsidRDefault="00205ACD" w:rsidP="009D0255">
            <w:pPr>
              <w:contextualSpacing/>
            </w:pPr>
          </w:p>
          <w:p w:rsidR="00205ACD" w:rsidRPr="00382C14" w:rsidRDefault="00205ACD" w:rsidP="009D0255">
            <w:pPr>
              <w:contextualSpacing/>
            </w:pPr>
          </w:p>
        </w:tc>
        <w:tc>
          <w:tcPr>
            <w:tcW w:w="2790" w:type="dxa"/>
          </w:tcPr>
          <w:p w:rsidR="000A6C66" w:rsidRPr="00124585" w:rsidRDefault="00124585" w:rsidP="00CA513B">
            <w:r>
              <w:t>DNA</w:t>
            </w:r>
          </w:p>
        </w:tc>
      </w:tr>
      <w:tr w:rsidR="00DC45C1" w:rsidRPr="00382C14" w:rsidTr="001D798E">
        <w:tc>
          <w:tcPr>
            <w:tcW w:w="3708" w:type="dxa"/>
          </w:tcPr>
          <w:p w:rsidR="00DC45C1" w:rsidRDefault="00317EB4" w:rsidP="00752238">
            <w:pPr>
              <w:pStyle w:val="ListParagraph"/>
              <w:numPr>
                <w:ilvl w:val="0"/>
                <w:numId w:val="1"/>
              </w:numPr>
              <w:rPr>
                <w:rFonts w:asciiTheme="minorHAnsi" w:hAnsiTheme="minorHAnsi"/>
                <w:b/>
              </w:rPr>
            </w:pPr>
            <w:r>
              <w:rPr>
                <w:rFonts w:asciiTheme="minorHAnsi" w:hAnsiTheme="minorHAnsi"/>
                <w:b/>
              </w:rPr>
              <w:t>Interested Parties Public Comment</w:t>
            </w:r>
          </w:p>
          <w:p w:rsidR="00205ACD" w:rsidRDefault="00205ACD" w:rsidP="00205ACD">
            <w:pPr>
              <w:pStyle w:val="ListParagraph"/>
              <w:ind w:left="360"/>
              <w:rPr>
                <w:rFonts w:asciiTheme="minorHAnsi" w:hAnsiTheme="minorHAnsi"/>
                <w:b/>
              </w:rPr>
            </w:pPr>
          </w:p>
          <w:p w:rsidR="00205ACD" w:rsidRPr="00CC6A19" w:rsidRDefault="00205ACD" w:rsidP="00CC6A19">
            <w:pPr>
              <w:rPr>
                <w:b/>
              </w:rPr>
            </w:pPr>
          </w:p>
          <w:p w:rsidR="00205ACD" w:rsidRPr="00382C14" w:rsidRDefault="00205ACD" w:rsidP="00205ACD">
            <w:pPr>
              <w:pStyle w:val="ListParagraph"/>
              <w:ind w:left="360"/>
              <w:rPr>
                <w:rFonts w:asciiTheme="minorHAnsi" w:hAnsiTheme="minorHAnsi"/>
                <w:b/>
              </w:rPr>
            </w:pPr>
          </w:p>
        </w:tc>
        <w:tc>
          <w:tcPr>
            <w:tcW w:w="1620" w:type="dxa"/>
          </w:tcPr>
          <w:p w:rsidR="00DC45C1" w:rsidRDefault="00DC45C1" w:rsidP="00CA513B">
            <w:pPr>
              <w:rPr>
                <w:b/>
              </w:rPr>
            </w:pPr>
            <w:r>
              <w:rPr>
                <w:b/>
              </w:rPr>
              <w:t>All</w:t>
            </w:r>
          </w:p>
          <w:p w:rsidR="00317EB4" w:rsidRPr="00382C14" w:rsidRDefault="00307654" w:rsidP="00CA513B">
            <w:pPr>
              <w:rPr>
                <w:b/>
              </w:rPr>
            </w:pPr>
            <w:r>
              <w:rPr>
                <w:b/>
              </w:rPr>
              <w:t xml:space="preserve"> </w:t>
            </w:r>
          </w:p>
        </w:tc>
        <w:tc>
          <w:tcPr>
            <w:tcW w:w="4050" w:type="dxa"/>
          </w:tcPr>
          <w:p w:rsidR="00205ACD" w:rsidRPr="00124585" w:rsidRDefault="00124585" w:rsidP="00DC45C1">
            <w:r>
              <w:t>There was no public comment.</w:t>
            </w:r>
          </w:p>
        </w:tc>
        <w:tc>
          <w:tcPr>
            <w:tcW w:w="2790" w:type="dxa"/>
          </w:tcPr>
          <w:p w:rsidR="00DC45C1" w:rsidRPr="00124585" w:rsidRDefault="00124585" w:rsidP="00CA513B">
            <w:r>
              <w:t>DNA</w:t>
            </w:r>
          </w:p>
        </w:tc>
      </w:tr>
      <w:tr w:rsidR="000A6C66" w:rsidRPr="00382C14" w:rsidTr="001D798E">
        <w:tc>
          <w:tcPr>
            <w:tcW w:w="3708" w:type="dxa"/>
          </w:tcPr>
          <w:p w:rsidR="000A6C66" w:rsidRPr="00382C14" w:rsidRDefault="000A6C66" w:rsidP="00CA7F6A">
            <w:pPr>
              <w:pStyle w:val="ListParagraph"/>
              <w:ind w:left="360"/>
              <w:rPr>
                <w:rFonts w:asciiTheme="minorHAnsi" w:hAnsiTheme="minorHAnsi"/>
                <w:b/>
              </w:rPr>
            </w:pPr>
          </w:p>
        </w:tc>
        <w:tc>
          <w:tcPr>
            <w:tcW w:w="1620" w:type="dxa"/>
          </w:tcPr>
          <w:p w:rsidR="000C5E04" w:rsidRPr="00382C14" w:rsidRDefault="000C5E04" w:rsidP="00CA513B">
            <w:pPr>
              <w:rPr>
                <w:b/>
              </w:rPr>
            </w:pPr>
          </w:p>
        </w:tc>
        <w:tc>
          <w:tcPr>
            <w:tcW w:w="4050" w:type="dxa"/>
          </w:tcPr>
          <w:p w:rsidR="000A6C66" w:rsidRPr="00382C14" w:rsidRDefault="000A6C66" w:rsidP="00CA513B"/>
        </w:tc>
        <w:tc>
          <w:tcPr>
            <w:tcW w:w="2790" w:type="dxa"/>
          </w:tcPr>
          <w:p w:rsidR="000A6C66" w:rsidRPr="00382C14" w:rsidRDefault="000A6C66" w:rsidP="00CA513B">
            <w:pPr>
              <w:rPr>
                <w:b/>
              </w:rPr>
            </w:pPr>
          </w:p>
        </w:tc>
      </w:tr>
      <w:tr w:rsidR="000A6C66" w:rsidRPr="00382C14" w:rsidTr="001D798E">
        <w:tc>
          <w:tcPr>
            <w:tcW w:w="3708" w:type="dxa"/>
          </w:tcPr>
          <w:p w:rsidR="00794936" w:rsidRDefault="00307654" w:rsidP="009D0255">
            <w:pPr>
              <w:rPr>
                <w:b/>
              </w:rPr>
            </w:pPr>
            <w:r>
              <w:rPr>
                <w:b/>
              </w:rPr>
              <w:t xml:space="preserve">Next </w:t>
            </w:r>
            <w:r w:rsidR="00317EB4">
              <w:rPr>
                <w:b/>
              </w:rPr>
              <w:t>Meeting</w:t>
            </w:r>
          </w:p>
          <w:p w:rsidR="00CC6A19" w:rsidRPr="00382C14" w:rsidRDefault="00307654" w:rsidP="009D0255">
            <w:pPr>
              <w:rPr>
                <w:b/>
              </w:rPr>
            </w:pPr>
            <w:r>
              <w:rPr>
                <w:b/>
              </w:rPr>
              <w:t xml:space="preserve"> </w:t>
            </w:r>
          </w:p>
        </w:tc>
        <w:tc>
          <w:tcPr>
            <w:tcW w:w="1620" w:type="dxa"/>
          </w:tcPr>
          <w:p w:rsidR="000C5E04" w:rsidRPr="00382C14" w:rsidRDefault="000C5E04" w:rsidP="00CA513B">
            <w:pPr>
              <w:rPr>
                <w:b/>
              </w:rPr>
            </w:pPr>
          </w:p>
          <w:p w:rsidR="000C5E04" w:rsidRPr="00382C14" w:rsidRDefault="000C5E04" w:rsidP="00CA513B">
            <w:pPr>
              <w:rPr>
                <w:b/>
              </w:rPr>
            </w:pPr>
          </w:p>
        </w:tc>
        <w:tc>
          <w:tcPr>
            <w:tcW w:w="4050" w:type="dxa"/>
          </w:tcPr>
          <w:p w:rsidR="000A6C66" w:rsidRPr="00124585" w:rsidRDefault="00F03098" w:rsidP="00CA513B">
            <w:r>
              <w:rPr>
                <w:b/>
              </w:rPr>
              <w:t xml:space="preserve"> </w:t>
            </w:r>
            <w:r w:rsidR="00124585">
              <w:t>To be determined.</w:t>
            </w:r>
          </w:p>
        </w:tc>
        <w:tc>
          <w:tcPr>
            <w:tcW w:w="2790" w:type="dxa"/>
          </w:tcPr>
          <w:p w:rsidR="000A6C66" w:rsidRPr="00382C14" w:rsidRDefault="000A6C66" w:rsidP="00CA513B">
            <w:pPr>
              <w:rPr>
                <w:b/>
              </w:rPr>
            </w:pPr>
          </w:p>
        </w:tc>
      </w:tr>
    </w:tbl>
    <w:p w:rsidR="002E77E0" w:rsidRPr="00382C14" w:rsidRDefault="002E77E0" w:rsidP="00205ACD">
      <w:pPr>
        <w:spacing w:after="0" w:line="240" w:lineRule="auto"/>
        <w:rPr>
          <w:rFonts w:eastAsia="Times New Roman" w:cs="Times New Roman"/>
          <w:b/>
        </w:rPr>
      </w:pPr>
    </w:p>
    <w:p w:rsidR="00205ACD" w:rsidRDefault="00205ACD" w:rsidP="00752238">
      <w:pPr>
        <w:spacing w:after="0" w:line="240" w:lineRule="auto"/>
        <w:jc w:val="center"/>
        <w:rPr>
          <w:rFonts w:eastAsia="Times New Roman" w:cs="Times New Roman"/>
          <w:b/>
        </w:rPr>
      </w:pPr>
    </w:p>
    <w:p w:rsidR="002E77E0" w:rsidRDefault="00752238" w:rsidP="00CA7F6A">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p>
    <w:p w:rsidR="009F70DD" w:rsidRDefault="009F70DD" w:rsidP="00CA7F6A">
      <w:pPr>
        <w:spacing w:after="0" w:line="240" w:lineRule="auto"/>
        <w:jc w:val="center"/>
        <w:rPr>
          <w:rFonts w:eastAsia="Times New Roman" w:cs="Times New Roman"/>
          <w:b/>
        </w:rPr>
      </w:pPr>
    </w:p>
    <w:p w:rsidR="001D1B62" w:rsidRDefault="009F70DD" w:rsidP="00E64695">
      <w:pPr>
        <w:spacing w:after="0" w:line="240" w:lineRule="auto"/>
        <w:jc w:val="center"/>
        <w:rPr>
          <w:rFonts w:eastAsia="Times New Roman" w:cs="Times New Roman"/>
          <w:b/>
        </w:rPr>
      </w:pPr>
      <w:r>
        <w:rPr>
          <w:rFonts w:eastAsia="Times New Roman" w:cs="Times New Roman"/>
          <w:b/>
        </w:rPr>
        <w:t>April 21</w:t>
      </w:r>
      <w:r w:rsidR="00E64695">
        <w:rPr>
          <w:rFonts w:eastAsia="Times New Roman" w:cs="Times New Roman"/>
          <w:b/>
        </w:rPr>
        <w:t>, 2015</w:t>
      </w:r>
    </w:p>
    <w:p w:rsidR="009F70DD" w:rsidRDefault="009F70DD" w:rsidP="00E64695">
      <w:pPr>
        <w:spacing w:after="0" w:line="240" w:lineRule="auto"/>
        <w:jc w:val="center"/>
        <w:rPr>
          <w:rFonts w:eastAsia="Times New Roman" w:cs="Times New Roman"/>
          <w:b/>
        </w:rPr>
      </w:pPr>
      <w:r>
        <w:rPr>
          <w:rFonts w:eastAsia="Times New Roman" w:cs="Times New Roman"/>
          <w:b/>
        </w:rPr>
        <w:t>Maine Medical Association</w:t>
      </w:r>
    </w:p>
    <w:p w:rsidR="00124585" w:rsidRPr="00382C14" w:rsidRDefault="00124585" w:rsidP="00124585">
      <w:pPr>
        <w:spacing w:after="0" w:line="240" w:lineRule="auto"/>
        <w:rPr>
          <w:rFonts w:eastAsia="Times New Roman" w:cs="Times New Roman"/>
          <w:b/>
        </w:rPr>
      </w:pPr>
    </w:p>
    <w:p w:rsidR="00382C14" w:rsidRPr="00382C14" w:rsidRDefault="00382C14" w:rsidP="00CA513B">
      <w:pPr>
        <w:rPr>
          <w:rStyle w:val="Strong"/>
          <w:color w:val="1F497D" w:themeColor="text2"/>
        </w:rPr>
      </w:pPr>
      <w:bookmarkStart w:id="0" w:name="_GoBack"/>
      <w:bookmarkEnd w:id="0"/>
    </w:p>
    <w:sectPr w:rsidR="00382C14" w:rsidRPr="00382C14" w:rsidSect="001F1605">
      <w:headerReference w:type="default" r:id="rId14"/>
      <w:footerReference w:type="default" r:id="rId15"/>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7D3" w:rsidRDefault="007007D3" w:rsidP="009528AC">
      <w:pPr>
        <w:spacing w:after="0" w:line="240" w:lineRule="auto"/>
      </w:pPr>
      <w:r>
        <w:separator/>
      </w:r>
    </w:p>
  </w:endnote>
  <w:endnote w:type="continuationSeparator" w:id="0">
    <w:p w:rsidR="007007D3" w:rsidRDefault="007007D3"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rsidR="0061044D" w:rsidRDefault="0061044D">
        <w:pPr>
          <w:pStyle w:val="Footer"/>
          <w:jc w:val="right"/>
        </w:pPr>
        <w:r>
          <w:fldChar w:fldCharType="begin"/>
        </w:r>
        <w:r>
          <w:instrText xml:space="preserve"> PAGE   \* MERGEFORMAT </w:instrText>
        </w:r>
        <w:r>
          <w:fldChar w:fldCharType="separate"/>
        </w:r>
        <w:r w:rsidR="009F70DD">
          <w:rPr>
            <w:noProof/>
          </w:rPr>
          <w:t>1</w:t>
        </w:r>
        <w:r>
          <w:rPr>
            <w:noProof/>
          </w:rPr>
          <w:fldChar w:fldCharType="end"/>
        </w:r>
      </w:p>
    </w:sdtContent>
  </w:sdt>
  <w:p w:rsidR="0061044D" w:rsidRDefault="0061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7D3" w:rsidRDefault="007007D3" w:rsidP="009528AC">
      <w:pPr>
        <w:spacing w:after="0" w:line="240" w:lineRule="auto"/>
      </w:pPr>
      <w:r>
        <w:separator/>
      </w:r>
    </w:p>
  </w:footnote>
  <w:footnote w:type="continuationSeparator" w:id="0">
    <w:p w:rsidR="007007D3" w:rsidRDefault="007007D3"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4D" w:rsidRDefault="00610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7">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14"/>
  </w:num>
  <w:num w:numId="4">
    <w:abstractNumId w:val="2"/>
  </w:num>
  <w:num w:numId="5">
    <w:abstractNumId w:val="5"/>
  </w:num>
  <w:num w:numId="6">
    <w:abstractNumId w:val="10"/>
  </w:num>
  <w:num w:numId="7">
    <w:abstractNumId w:val="0"/>
  </w:num>
  <w:num w:numId="8">
    <w:abstractNumId w:val="15"/>
  </w:num>
  <w:num w:numId="9">
    <w:abstractNumId w:val="12"/>
  </w:num>
  <w:num w:numId="10">
    <w:abstractNumId w:val="6"/>
  </w:num>
  <w:num w:numId="11">
    <w:abstractNumId w:val="13"/>
  </w:num>
  <w:num w:numId="12">
    <w:abstractNumId w:val="1"/>
  </w:num>
  <w:num w:numId="13">
    <w:abstractNumId w:val="7"/>
  </w:num>
  <w:num w:numId="14">
    <w:abstractNumId w:val="11"/>
  </w:num>
  <w:num w:numId="15">
    <w:abstractNumId w:val="16"/>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21782"/>
    <w:rsid w:val="00026C79"/>
    <w:rsid w:val="00033E1C"/>
    <w:rsid w:val="00046DB0"/>
    <w:rsid w:val="00047088"/>
    <w:rsid w:val="00051E6B"/>
    <w:rsid w:val="00053DB9"/>
    <w:rsid w:val="00066456"/>
    <w:rsid w:val="000714B6"/>
    <w:rsid w:val="00086D9D"/>
    <w:rsid w:val="00097E02"/>
    <w:rsid w:val="000A6C66"/>
    <w:rsid w:val="000B280D"/>
    <w:rsid w:val="000B2917"/>
    <w:rsid w:val="000B3716"/>
    <w:rsid w:val="000B6131"/>
    <w:rsid w:val="000C0A19"/>
    <w:rsid w:val="000C35A5"/>
    <w:rsid w:val="000C5E04"/>
    <w:rsid w:val="000C6E74"/>
    <w:rsid w:val="000D5FE1"/>
    <w:rsid w:val="000D7AD4"/>
    <w:rsid w:val="000E066F"/>
    <w:rsid w:val="000E363D"/>
    <w:rsid w:val="000F667F"/>
    <w:rsid w:val="001034BB"/>
    <w:rsid w:val="00104961"/>
    <w:rsid w:val="00105364"/>
    <w:rsid w:val="00107C92"/>
    <w:rsid w:val="00114C65"/>
    <w:rsid w:val="001173D5"/>
    <w:rsid w:val="0012168B"/>
    <w:rsid w:val="0012170D"/>
    <w:rsid w:val="00124585"/>
    <w:rsid w:val="00124F1E"/>
    <w:rsid w:val="00130314"/>
    <w:rsid w:val="001309E6"/>
    <w:rsid w:val="00133836"/>
    <w:rsid w:val="001521D1"/>
    <w:rsid w:val="0015221F"/>
    <w:rsid w:val="0015295E"/>
    <w:rsid w:val="001565FD"/>
    <w:rsid w:val="001774A5"/>
    <w:rsid w:val="001828A9"/>
    <w:rsid w:val="00184A3F"/>
    <w:rsid w:val="0019691C"/>
    <w:rsid w:val="00197039"/>
    <w:rsid w:val="0019779D"/>
    <w:rsid w:val="001A2AA7"/>
    <w:rsid w:val="001A3885"/>
    <w:rsid w:val="001B0113"/>
    <w:rsid w:val="001B1456"/>
    <w:rsid w:val="001B589D"/>
    <w:rsid w:val="001C38CD"/>
    <w:rsid w:val="001C4152"/>
    <w:rsid w:val="001D1B62"/>
    <w:rsid w:val="001D4383"/>
    <w:rsid w:val="001D4751"/>
    <w:rsid w:val="001D798E"/>
    <w:rsid w:val="001E2542"/>
    <w:rsid w:val="001E36E1"/>
    <w:rsid w:val="001F1605"/>
    <w:rsid w:val="002045A4"/>
    <w:rsid w:val="00205ACD"/>
    <w:rsid w:val="00215823"/>
    <w:rsid w:val="00217D2B"/>
    <w:rsid w:val="00220051"/>
    <w:rsid w:val="00224B04"/>
    <w:rsid w:val="00227D1E"/>
    <w:rsid w:val="002309F0"/>
    <w:rsid w:val="00231153"/>
    <w:rsid w:val="00232996"/>
    <w:rsid w:val="00235B01"/>
    <w:rsid w:val="00237BB8"/>
    <w:rsid w:val="002422B9"/>
    <w:rsid w:val="00251624"/>
    <w:rsid w:val="002533BE"/>
    <w:rsid w:val="00254D4F"/>
    <w:rsid w:val="00255283"/>
    <w:rsid w:val="00265838"/>
    <w:rsid w:val="00285B5F"/>
    <w:rsid w:val="00294AD3"/>
    <w:rsid w:val="002950B8"/>
    <w:rsid w:val="002A22B5"/>
    <w:rsid w:val="002A2A54"/>
    <w:rsid w:val="002A54A7"/>
    <w:rsid w:val="002A5768"/>
    <w:rsid w:val="002A71DC"/>
    <w:rsid w:val="002B1061"/>
    <w:rsid w:val="002B7C9C"/>
    <w:rsid w:val="002C5D29"/>
    <w:rsid w:val="002C7C85"/>
    <w:rsid w:val="002D7E92"/>
    <w:rsid w:val="002E3E81"/>
    <w:rsid w:val="002E77E0"/>
    <w:rsid w:val="002F0184"/>
    <w:rsid w:val="002F1C52"/>
    <w:rsid w:val="002F236C"/>
    <w:rsid w:val="002F2D19"/>
    <w:rsid w:val="002F76A7"/>
    <w:rsid w:val="0030128E"/>
    <w:rsid w:val="0030398E"/>
    <w:rsid w:val="00307654"/>
    <w:rsid w:val="00317EB4"/>
    <w:rsid w:val="00320777"/>
    <w:rsid w:val="00320DF3"/>
    <w:rsid w:val="003234D8"/>
    <w:rsid w:val="00323BDD"/>
    <w:rsid w:val="00354529"/>
    <w:rsid w:val="00365DB9"/>
    <w:rsid w:val="00366684"/>
    <w:rsid w:val="00382C14"/>
    <w:rsid w:val="003970E1"/>
    <w:rsid w:val="003972B8"/>
    <w:rsid w:val="003A276D"/>
    <w:rsid w:val="003A32E1"/>
    <w:rsid w:val="003B18D0"/>
    <w:rsid w:val="003B3F0A"/>
    <w:rsid w:val="003C0B6E"/>
    <w:rsid w:val="003D799D"/>
    <w:rsid w:val="003E0CE1"/>
    <w:rsid w:val="003E16CD"/>
    <w:rsid w:val="003E33AF"/>
    <w:rsid w:val="003E784C"/>
    <w:rsid w:val="003E7C6A"/>
    <w:rsid w:val="003F780E"/>
    <w:rsid w:val="00401DC3"/>
    <w:rsid w:val="00405094"/>
    <w:rsid w:val="004270B5"/>
    <w:rsid w:val="004278A9"/>
    <w:rsid w:val="00427D52"/>
    <w:rsid w:val="00431A1C"/>
    <w:rsid w:val="00441254"/>
    <w:rsid w:val="00451E01"/>
    <w:rsid w:val="00465910"/>
    <w:rsid w:val="00472BC7"/>
    <w:rsid w:val="00472D8C"/>
    <w:rsid w:val="0047680F"/>
    <w:rsid w:val="00481813"/>
    <w:rsid w:val="00482A58"/>
    <w:rsid w:val="00483443"/>
    <w:rsid w:val="00492901"/>
    <w:rsid w:val="004A16BA"/>
    <w:rsid w:val="004A17A1"/>
    <w:rsid w:val="004A59FE"/>
    <w:rsid w:val="004B19FA"/>
    <w:rsid w:val="004B76DC"/>
    <w:rsid w:val="004C0584"/>
    <w:rsid w:val="004C0EA7"/>
    <w:rsid w:val="004C2832"/>
    <w:rsid w:val="004C59C2"/>
    <w:rsid w:val="004D3D29"/>
    <w:rsid w:val="004E21A0"/>
    <w:rsid w:val="004E3B9B"/>
    <w:rsid w:val="004F2914"/>
    <w:rsid w:val="00503704"/>
    <w:rsid w:val="00504887"/>
    <w:rsid w:val="00511D91"/>
    <w:rsid w:val="00513493"/>
    <w:rsid w:val="0051757D"/>
    <w:rsid w:val="00531C5C"/>
    <w:rsid w:val="00533F6E"/>
    <w:rsid w:val="00534E7A"/>
    <w:rsid w:val="005350A4"/>
    <w:rsid w:val="00535B92"/>
    <w:rsid w:val="00535BD7"/>
    <w:rsid w:val="00542DCF"/>
    <w:rsid w:val="00544104"/>
    <w:rsid w:val="00546CAC"/>
    <w:rsid w:val="005538F0"/>
    <w:rsid w:val="005542BE"/>
    <w:rsid w:val="00556F75"/>
    <w:rsid w:val="005644F0"/>
    <w:rsid w:val="00570F14"/>
    <w:rsid w:val="0057453F"/>
    <w:rsid w:val="005779EB"/>
    <w:rsid w:val="00581893"/>
    <w:rsid w:val="00583239"/>
    <w:rsid w:val="00585463"/>
    <w:rsid w:val="0059130A"/>
    <w:rsid w:val="00592C32"/>
    <w:rsid w:val="00593B65"/>
    <w:rsid w:val="00595002"/>
    <w:rsid w:val="005972C1"/>
    <w:rsid w:val="00597D1E"/>
    <w:rsid w:val="005A7BF9"/>
    <w:rsid w:val="005B1B33"/>
    <w:rsid w:val="005B22F4"/>
    <w:rsid w:val="005B41C0"/>
    <w:rsid w:val="005B7630"/>
    <w:rsid w:val="005C0DF3"/>
    <w:rsid w:val="005C691C"/>
    <w:rsid w:val="005E117A"/>
    <w:rsid w:val="005E6566"/>
    <w:rsid w:val="005F0FE8"/>
    <w:rsid w:val="005F2329"/>
    <w:rsid w:val="005F263F"/>
    <w:rsid w:val="005F3A25"/>
    <w:rsid w:val="005F60BC"/>
    <w:rsid w:val="00600D6B"/>
    <w:rsid w:val="00603600"/>
    <w:rsid w:val="00603701"/>
    <w:rsid w:val="00605928"/>
    <w:rsid w:val="00607F42"/>
    <w:rsid w:val="0061044D"/>
    <w:rsid w:val="00611561"/>
    <w:rsid w:val="0061496B"/>
    <w:rsid w:val="006155A3"/>
    <w:rsid w:val="00615DFD"/>
    <w:rsid w:val="00627A82"/>
    <w:rsid w:val="00627D89"/>
    <w:rsid w:val="00635E57"/>
    <w:rsid w:val="00664BF0"/>
    <w:rsid w:val="006743EC"/>
    <w:rsid w:val="0068420A"/>
    <w:rsid w:val="00685D08"/>
    <w:rsid w:val="00693536"/>
    <w:rsid w:val="0069679D"/>
    <w:rsid w:val="006974E7"/>
    <w:rsid w:val="006A1299"/>
    <w:rsid w:val="006A4090"/>
    <w:rsid w:val="006B164B"/>
    <w:rsid w:val="006C083C"/>
    <w:rsid w:val="006C2122"/>
    <w:rsid w:val="006C3927"/>
    <w:rsid w:val="006D27DE"/>
    <w:rsid w:val="006D671D"/>
    <w:rsid w:val="006F2FDF"/>
    <w:rsid w:val="006F4A12"/>
    <w:rsid w:val="007007D3"/>
    <w:rsid w:val="00714D46"/>
    <w:rsid w:val="0071661C"/>
    <w:rsid w:val="007225CD"/>
    <w:rsid w:val="007233A4"/>
    <w:rsid w:val="00730AD4"/>
    <w:rsid w:val="00730CA7"/>
    <w:rsid w:val="00737F54"/>
    <w:rsid w:val="00747ED1"/>
    <w:rsid w:val="00751FA6"/>
    <w:rsid w:val="00752238"/>
    <w:rsid w:val="007547D6"/>
    <w:rsid w:val="007565BF"/>
    <w:rsid w:val="00756EBD"/>
    <w:rsid w:val="00767812"/>
    <w:rsid w:val="0078085C"/>
    <w:rsid w:val="007824F0"/>
    <w:rsid w:val="00783E47"/>
    <w:rsid w:val="00786871"/>
    <w:rsid w:val="00792436"/>
    <w:rsid w:val="00794936"/>
    <w:rsid w:val="007A711B"/>
    <w:rsid w:val="007A72A4"/>
    <w:rsid w:val="007B0633"/>
    <w:rsid w:val="007B5F1F"/>
    <w:rsid w:val="007C1CDB"/>
    <w:rsid w:val="007C2ECC"/>
    <w:rsid w:val="007D00CF"/>
    <w:rsid w:val="007D1DCD"/>
    <w:rsid w:val="007D3C6E"/>
    <w:rsid w:val="007D4D2E"/>
    <w:rsid w:val="007E0304"/>
    <w:rsid w:val="007E237F"/>
    <w:rsid w:val="007E4775"/>
    <w:rsid w:val="007E4B46"/>
    <w:rsid w:val="007E59DD"/>
    <w:rsid w:val="007F0CEC"/>
    <w:rsid w:val="008008C0"/>
    <w:rsid w:val="008052D6"/>
    <w:rsid w:val="00805848"/>
    <w:rsid w:val="00806385"/>
    <w:rsid w:val="00812430"/>
    <w:rsid w:val="00813030"/>
    <w:rsid w:val="00823275"/>
    <w:rsid w:val="00830ADA"/>
    <w:rsid w:val="00832AAA"/>
    <w:rsid w:val="00843D5B"/>
    <w:rsid w:val="00845BEA"/>
    <w:rsid w:val="00863D8E"/>
    <w:rsid w:val="0087486B"/>
    <w:rsid w:val="00875D3A"/>
    <w:rsid w:val="00877298"/>
    <w:rsid w:val="00877BBD"/>
    <w:rsid w:val="008830D6"/>
    <w:rsid w:val="00883C3D"/>
    <w:rsid w:val="00886BE0"/>
    <w:rsid w:val="00891A4C"/>
    <w:rsid w:val="00891F25"/>
    <w:rsid w:val="008A392A"/>
    <w:rsid w:val="008A4222"/>
    <w:rsid w:val="008A4DE0"/>
    <w:rsid w:val="008A54A1"/>
    <w:rsid w:val="008B0C1E"/>
    <w:rsid w:val="008B1327"/>
    <w:rsid w:val="008B2208"/>
    <w:rsid w:val="008B3589"/>
    <w:rsid w:val="008B7D57"/>
    <w:rsid w:val="008C516A"/>
    <w:rsid w:val="008D12EE"/>
    <w:rsid w:val="008D18D1"/>
    <w:rsid w:val="008D6D7B"/>
    <w:rsid w:val="008E162A"/>
    <w:rsid w:val="008E19F6"/>
    <w:rsid w:val="008F2DA8"/>
    <w:rsid w:val="008F5D6E"/>
    <w:rsid w:val="00906A46"/>
    <w:rsid w:val="00910134"/>
    <w:rsid w:val="0091304A"/>
    <w:rsid w:val="009142CC"/>
    <w:rsid w:val="00914EB5"/>
    <w:rsid w:val="00916DE7"/>
    <w:rsid w:val="00924B9E"/>
    <w:rsid w:val="00925343"/>
    <w:rsid w:val="00934F2C"/>
    <w:rsid w:val="009363E1"/>
    <w:rsid w:val="009470B3"/>
    <w:rsid w:val="009528AC"/>
    <w:rsid w:val="00952C2E"/>
    <w:rsid w:val="009569E4"/>
    <w:rsid w:val="0095790E"/>
    <w:rsid w:val="0099337F"/>
    <w:rsid w:val="009A06B8"/>
    <w:rsid w:val="009A674E"/>
    <w:rsid w:val="009B0D2F"/>
    <w:rsid w:val="009B1333"/>
    <w:rsid w:val="009B1DED"/>
    <w:rsid w:val="009B480A"/>
    <w:rsid w:val="009B5E40"/>
    <w:rsid w:val="009C071B"/>
    <w:rsid w:val="009C175D"/>
    <w:rsid w:val="009C1965"/>
    <w:rsid w:val="009D0255"/>
    <w:rsid w:val="009E21FE"/>
    <w:rsid w:val="009F7035"/>
    <w:rsid w:val="009F70DD"/>
    <w:rsid w:val="009F74F0"/>
    <w:rsid w:val="00A03F07"/>
    <w:rsid w:val="00A068BD"/>
    <w:rsid w:val="00A0773C"/>
    <w:rsid w:val="00A1155A"/>
    <w:rsid w:val="00A15575"/>
    <w:rsid w:val="00A17730"/>
    <w:rsid w:val="00A25DD8"/>
    <w:rsid w:val="00A3329A"/>
    <w:rsid w:val="00A53AF3"/>
    <w:rsid w:val="00A5601F"/>
    <w:rsid w:val="00A628F7"/>
    <w:rsid w:val="00A63621"/>
    <w:rsid w:val="00A65CDF"/>
    <w:rsid w:val="00A7115B"/>
    <w:rsid w:val="00A7467D"/>
    <w:rsid w:val="00A77638"/>
    <w:rsid w:val="00A80237"/>
    <w:rsid w:val="00A80B89"/>
    <w:rsid w:val="00A81FC0"/>
    <w:rsid w:val="00A93934"/>
    <w:rsid w:val="00AA3374"/>
    <w:rsid w:val="00AA7672"/>
    <w:rsid w:val="00AB3BCA"/>
    <w:rsid w:val="00AB7076"/>
    <w:rsid w:val="00AB717E"/>
    <w:rsid w:val="00AC0BA8"/>
    <w:rsid w:val="00AC400F"/>
    <w:rsid w:val="00AD0517"/>
    <w:rsid w:val="00AD4845"/>
    <w:rsid w:val="00AD5607"/>
    <w:rsid w:val="00AE4ECD"/>
    <w:rsid w:val="00AE6C31"/>
    <w:rsid w:val="00AF5120"/>
    <w:rsid w:val="00B02A9A"/>
    <w:rsid w:val="00B0531A"/>
    <w:rsid w:val="00B06219"/>
    <w:rsid w:val="00B100AD"/>
    <w:rsid w:val="00B10C95"/>
    <w:rsid w:val="00B13E6A"/>
    <w:rsid w:val="00B151B1"/>
    <w:rsid w:val="00B16AFF"/>
    <w:rsid w:val="00B17696"/>
    <w:rsid w:val="00B2232E"/>
    <w:rsid w:val="00B332E1"/>
    <w:rsid w:val="00B3334D"/>
    <w:rsid w:val="00B360D6"/>
    <w:rsid w:val="00B36F12"/>
    <w:rsid w:val="00B45DEE"/>
    <w:rsid w:val="00B562FE"/>
    <w:rsid w:val="00B60061"/>
    <w:rsid w:val="00B718DC"/>
    <w:rsid w:val="00B722D3"/>
    <w:rsid w:val="00B84210"/>
    <w:rsid w:val="00B95148"/>
    <w:rsid w:val="00B97464"/>
    <w:rsid w:val="00BB38A4"/>
    <w:rsid w:val="00BB514A"/>
    <w:rsid w:val="00BB5E4C"/>
    <w:rsid w:val="00BC6ABF"/>
    <w:rsid w:val="00BD1BE8"/>
    <w:rsid w:val="00BD3725"/>
    <w:rsid w:val="00BE25B4"/>
    <w:rsid w:val="00BE3204"/>
    <w:rsid w:val="00BE3EE9"/>
    <w:rsid w:val="00BE7BB9"/>
    <w:rsid w:val="00BF43DE"/>
    <w:rsid w:val="00BF4B6A"/>
    <w:rsid w:val="00BF4EFA"/>
    <w:rsid w:val="00C005AB"/>
    <w:rsid w:val="00C03007"/>
    <w:rsid w:val="00C04EF6"/>
    <w:rsid w:val="00C04FDF"/>
    <w:rsid w:val="00C05E37"/>
    <w:rsid w:val="00C07667"/>
    <w:rsid w:val="00C13BA4"/>
    <w:rsid w:val="00C16773"/>
    <w:rsid w:val="00C16FAF"/>
    <w:rsid w:val="00C21BDB"/>
    <w:rsid w:val="00C26796"/>
    <w:rsid w:val="00C26D0D"/>
    <w:rsid w:val="00C318BB"/>
    <w:rsid w:val="00C320B4"/>
    <w:rsid w:val="00C46CAB"/>
    <w:rsid w:val="00C472ED"/>
    <w:rsid w:val="00C47D2C"/>
    <w:rsid w:val="00C51824"/>
    <w:rsid w:val="00C5237A"/>
    <w:rsid w:val="00C60DB3"/>
    <w:rsid w:val="00C619AC"/>
    <w:rsid w:val="00C61EA0"/>
    <w:rsid w:val="00C67EA7"/>
    <w:rsid w:val="00C71A22"/>
    <w:rsid w:val="00C71D46"/>
    <w:rsid w:val="00C73518"/>
    <w:rsid w:val="00C74907"/>
    <w:rsid w:val="00C81C86"/>
    <w:rsid w:val="00C8408A"/>
    <w:rsid w:val="00C86953"/>
    <w:rsid w:val="00C87084"/>
    <w:rsid w:val="00C921EE"/>
    <w:rsid w:val="00C94EEF"/>
    <w:rsid w:val="00CA3852"/>
    <w:rsid w:val="00CA513B"/>
    <w:rsid w:val="00CA6278"/>
    <w:rsid w:val="00CA7F6A"/>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F5465"/>
    <w:rsid w:val="00D01259"/>
    <w:rsid w:val="00D1116E"/>
    <w:rsid w:val="00D12D58"/>
    <w:rsid w:val="00D1384F"/>
    <w:rsid w:val="00D14B22"/>
    <w:rsid w:val="00D15570"/>
    <w:rsid w:val="00D15958"/>
    <w:rsid w:val="00D16086"/>
    <w:rsid w:val="00D26BCB"/>
    <w:rsid w:val="00D32899"/>
    <w:rsid w:val="00D334BD"/>
    <w:rsid w:val="00D35C73"/>
    <w:rsid w:val="00D379AA"/>
    <w:rsid w:val="00D41348"/>
    <w:rsid w:val="00D4170A"/>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B1A00"/>
    <w:rsid w:val="00DB35D6"/>
    <w:rsid w:val="00DB5F72"/>
    <w:rsid w:val="00DC2ABE"/>
    <w:rsid w:val="00DC45C1"/>
    <w:rsid w:val="00DC7D65"/>
    <w:rsid w:val="00DD1237"/>
    <w:rsid w:val="00DD42D5"/>
    <w:rsid w:val="00DD55F3"/>
    <w:rsid w:val="00DD65F7"/>
    <w:rsid w:val="00DE3859"/>
    <w:rsid w:val="00DF4565"/>
    <w:rsid w:val="00DF6C20"/>
    <w:rsid w:val="00E02AFE"/>
    <w:rsid w:val="00E02E28"/>
    <w:rsid w:val="00E037B1"/>
    <w:rsid w:val="00E04405"/>
    <w:rsid w:val="00E11F71"/>
    <w:rsid w:val="00E20E41"/>
    <w:rsid w:val="00E32CBA"/>
    <w:rsid w:val="00E339A4"/>
    <w:rsid w:val="00E3596C"/>
    <w:rsid w:val="00E40F7B"/>
    <w:rsid w:val="00E4422C"/>
    <w:rsid w:val="00E51260"/>
    <w:rsid w:val="00E535AD"/>
    <w:rsid w:val="00E56E9B"/>
    <w:rsid w:val="00E57983"/>
    <w:rsid w:val="00E61F8F"/>
    <w:rsid w:val="00E64589"/>
    <w:rsid w:val="00E64695"/>
    <w:rsid w:val="00E83854"/>
    <w:rsid w:val="00E83E5A"/>
    <w:rsid w:val="00E90849"/>
    <w:rsid w:val="00E91CC0"/>
    <w:rsid w:val="00EA7500"/>
    <w:rsid w:val="00EA7E70"/>
    <w:rsid w:val="00EB3D4C"/>
    <w:rsid w:val="00EB6509"/>
    <w:rsid w:val="00EC0CBA"/>
    <w:rsid w:val="00EC108A"/>
    <w:rsid w:val="00EC14ED"/>
    <w:rsid w:val="00EC3095"/>
    <w:rsid w:val="00EC356A"/>
    <w:rsid w:val="00EC40B8"/>
    <w:rsid w:val="00EC52FD"/>
    <w:rsid w:val="00EC751B"/>
    <w:rsid w:val="00EE155B"/>
    <w:rsid w:val="00EE2F17"/>
    <w:rsid w:val="00EE3ED1"/>
    <w:rsid w:val="00EE7B31"/>
    <w:rsid w:val="00EF08EB"/>
    <w:rsid w:val="00EF3B9E"/>
    <w:rsid w:val="00EF45EE"/>
    <w:rsid w:val="00F03098"/>
    <w:rsid w:val="00F05A55"/>
    <w:rsid w:val="00F12884"/>
    <w:rsid w:val="00F16C5D"/>
    <w:rsid w:val="00F2282F"/>
    <w:rsid w:val="00F23DD7"/>
    <w:rsid w:val="00F3282C"/>
    <w:rsid w:val="00F60C73"/>
    <w:rsid w:val="00F61704"/>
    <w:rsid w:val="00F61F9E"/>
    <w:rsid w:val="00F656FC"/>
    <w:rsid w:val="00F70000"/>
    <w:rsid w:val="00F71A33"/>
    <w:rsid w:val="00F745A6"/>
    <w:rsid w:val="00F74A3C"/>
    <w:rsid w:val="00F82204"/>
    <w:rsid w:val="00F84999"/>
    <w:rsid w:val="00FA2661"/>
    <w:rsid w:val="00FA429D"/>
    <w:rsid w:val="00FA65AF"/>
    <w:rsid w:val="00FB17D7"/>
    <w:rsid w:val="00FB42CE"/>
    <w:rsid w:val="00FB68BC"/>
    <w:rsid w:val="00FB6993"/>
    <w:rsid w:val="00FC3A6F"/>
    <w:rsid w:val="00FC618E"/>
    <w:rsid w:val="00FE5354"/>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3F92-DCFA-44C6-BFC7-86DDF14BC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4.xml><?xml version="1.0" encoding="utf-8"?>
<ds:datastoreItem xmlns:ds="http://schemas.openxmlformats.org/officeDocument/2006/customXml" ds:itemID="{6435DC74-2DDF-4279-910F-CFDD3C12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Frank Johnson</cp:lastModifiedBy>
  <cp:revision>3</cp:revision>
  <cp:lastPrinted>2014-12-17T19:01:00Z</cp:lastPrinted>
  <dcterms:created xsi:type="dcterms:W3CDTF">2015-02-27T19:11:00Z</dcterms:created>
  <dcterms:modified xsi:type="dcterms:W3CDTF">2015-02-27T20:10:00Z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